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500" w:type="dxa"/>
        <w:jc w:val="center"/>
        <w:tblCellSpacing w:w="0" w:type="dxa"/>
        <w:tblInd w:w="0" w:type="dxa"/>
        <w:shd w:val="clear" w:color="auto" w:fill="FFFFFF"/>
        <w:tblLayout w:type="fixed"/>
        <w:tblCellMar>
          <w:top w:w="0" w:type="dxa"/>
          <w:left w:w="0" w:type="dxa"/>
          <w:bottom w:w="0" w:type="dxa"/>
          <w:right w:w="0" w:type="dxa"/>
        </w:tblCellMar>
      </w:tblPr>
      <w:tblGrid>
        <w:gridCol w:w="13500"/>
      </w:tblGrid>
      <w:tr>
        <w:tblPrEx>
          <w:shd w:val="clear" w:color="auto" w:fill="FFFFFF"/>
          <w:tblLayout w:type="fixed"/>
          <w:tblCellMar>
            <w:top w:w="0" w:type="dxa"/>
            <w:left w:w="0" w:type="dxa"/>
            <w:bottom w:w="0" w:type="dxa"/>
            <w:right w:w="0" w:type="dxa"/>
          </w:tblCellMar>
        </w:tblPrEx>
        <w:trPr>
          <w:trHeight w:val="750" w:hRule="atLeast"/>
          <w:tblCellSpacing w:w="0" w:type="dxa"/>
          <w:jc w:val="center"/>
        </w:trPr>
        <w:tc>
          <w:tcPr>
            <w:tcW w:w="13500" w:type="dxa"/>
            <w:shd w:val="clear" w:color="auto" w:fill="FFFFFF"/>
            <w:tcMar>
              <w:top w:w="0" w:type="dxa"/>
              <w:left w:w="600" w:type="dxa"/>
              <w:bottom w:w="0" w:type="dxa"/>
              <w:right w:w="600" w:type="dxa"/>
            </w:tcMar>
            <w:vAlign w:val="center"/>
          </w:tcPr>
          <w:p>
            <w:pPr>
              <w:widowControl/>
              <w:spacing w:line="495" w:lineRule="atLeast"/>
              <w:jc w:val="center"/>
              <w:rPr>
                <w:rFonts w:ascii="仿宋" w:hAnsi="仿宋" w:eastAsia="仿宋" w:cs="仿宋"/>
                <w:color w:val="000000"/>
                <w:sz w:val="32"/>
                <w:szCs w:val="32"/>
                <w:shd w:val="clear" w:color="auto" w:fill="FFFFFF"/>
              </w:rPr>
            </w:pPr>
            <w:bookmarkStart w:id="0" w:name="_GoBack"/>
            <w:r>
              <w:rPr>
                <w:rFonts w:ascii="仿宋" w:hAnsi="仿宋" w:eastAsia="仿宋" w:cs="仿宋"/>
                <w:color w:val="000000"/>
                <w:sz w:val="32"/>
                <w:szCs w:val="32"/>
                <w:shd w:val="clear" w:color="auto" w:fill="FFFFFF"/>
              </w:rPr>
              <w:t>住房城乡建设部关于印发工程质量安全提升行动方案的通知</w:t>
            </w:r>
            <w:bookmarkEnd w:id="0"/>
          </w:p>
        </w:tc>
      </w:tr>
      <w:tr>
        <w:tblPrEx>
          <w:tblLayout w:type="fixed"/>
          <w:tblCellMar>
            <w:top w:w="0" w:type="dxa"/>
            <w:left w:w="0" w:type="dxa"/>
            <w:bottom w:w="0" w:type="dxa"/>
            <w:right w:w="0" w:type="dxa"/>
          </w:tblCellMar>
        </w:tblPrEx>
        <w:trPr>
          <w:trHeight w:val="375" w:hRule="atLeast"/>
          <w:tblCellSpacing w:w="0" w:type="dxa"/>
          <w:jc w:val="center"/>
        </w:trPr>
        <w:tc>
          <w:tcPr>
            <w:tcW w:w="13500" w:type="dxa"/>
            <w:shd w:val="clear" w:color="auto" w:fill="FFFFFF"/>
            <w:vAlign w:val="center"/>
          </w:tcPr>
          <w:tbl>
            <w:tblPr>
              <w:tblStyle w:val="4"/>
              <w:tblW w:w="12150" w:type="dxa"/>
              <w:jc w:val="center"/>
              <w:tblCellSpacing w:w="0" w:type="dxa"/>
              <w:tblInd w:w="0" w:type="dxa"/>
              <w:tblLayout w:type="fixed"/>
              <w:tblCellMar>
                <w:top w:w="0" w:type="dxa"/>
                <w:left w:w="0" w:type="dxa"/>
                <w:bottom w:w="0" w:type="dxa"/>
                <w:right w:w="0" w:type="dxa"/>
              </w:tblCellMar>
            </w:tblPr>
            <w:tblGrid>
              <w:gridCol w:w="12150"/>
            </w:tblGrid>
            <w:tr>
              <w:tblPrEx>
                <w:tblLayout w:type="fixed"/>
                <w:tblCellMar>
                  <w:top w:w="0" w:type="dxa"/>
                  <w:left w:w="0" w:type="dxa"/>
                  <w:bottom w:w="0" w:type="dxa"/>
                  <w:right w:w="0" w:type="dxa"/>
                </w:tblCellMar>
              </w:tblPrEx>
              <w:trPr>
                <w:tblCellSpacing w:w="0" w:type="dxa"/>
                <w:jc w:val="center"/>
              </w:trPr>
              <w:tc>
                <w:tcPr>
                  <w:tcW w:w="12150" w:type="dxa"/>
                  <w:vAlign w:val="center"/>
                </w:tcPr>
                <w:p>
                  <w:pPr>
                    <w:widowControl/>
                    <w:jc w:val="center"/>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建质[2017]57号</w:t>
                  </w:r>
                </w:p>
              </w:tc>
            </w:tr>
          </w:tbl>
          <w:p>
            <w:pPr>
              <w:widowControl/>
              <w:spacing w:line="360" w:lineRule="atLeast"/>
              <w:jc w:val="center"/>
              <w:rPr>
                <w:rFonts w:ascii="仿宋" w:hAnsi="仿宋" w:eastAsia="仿宋" w:cs="仿宋"/>
                <w:color w:val="000000"/>
                <w:sz w:val="32"/>
                <w:szCs w:val="32"/>
                <w:shd w:val="clear" w:color="auto" w:fill="FFFFFF"/>
              </w:rPr>
            </w:pPr>
          </w:p>
        </w:tc>
      </w:tr>
    </w:tbl>
    <w:p>
      <w:pPr>
        <w:pStyle w:val="2"/>
        <w:shd w:val="clear" w:color="auto" w:fill="FFFFFF"/>
        <w:spacing w:before="0" w:beforeAutospacing="0" w:after="0" w:afterAutospacing="0" w:line="360" w:lineRule="atLeast"/>
        <w:rPr>
          <w:rFonts w:ascii="仿宋" w:hAnsi="仿宋" w:eastAsia="仿宋" w:cs="仿宋"/>
          <w:color w:val="000000"/>
          <w:kern w:val="2"/>
          <w:sz w:val="32"/>
          <w:szCs w:val="32"/>
          <w:shd w:val="clear" w:color="auto" w:fill="FFFFFF"/>
        </w:rPr>
      </w:pPr>
      <w:r>
        <w:rPr>
          <w:rFonts w:ascii="仿宋" w:hAnsi="仿宋" w:eastAsia="仿宋" w:cs="仿宋"/>
          <w:color w:val="000000"/>
          <w:kern w:val="2"/>
          <w:sz w:val="32"/>
          <w:szCs w:val="32"/>
          <w:shd w:val="clear" w:color="auto" w:fill="FFFFFF"/>
        </w:rPr>
        <w:t>各省、自治区住房城乡建设厅，直辖市建委（规划国土委），新疆生产建设兵团建设局：</w:t>
      </w:r>
    </w:p>
    <w:p>
      <w:pPr>
        <w:pStyle w:val="2"/>
        <w:shd w:val="clear" w:color="auto" w:fill="FFFFFF"/>
        <w:spacing w:before="0" w:beforeAutospacing="0" w:after="0" w:afterAutospacing="0" w:line="360" w:lineRule="atLeast"/>
        <w:rPr>
          <w:rFonts w:ascii="仿宋" w:hAnsi="仿宋" w:eastAsia="仿宋" w:cs="仿宋"/>
          <w:color w:val="000000"/>
          <w:kern w:val="2"/>
          <w:sz w:val="32"/>
          <w:szCs w:val="32"/>
          <w:shd w:val="clear" w:color="auto" w:fill="FFFFFF"/>
        </w:rPr>
      </w:pPr>
      <w:r>
        <w:rPr>
          <w:rFonts w:ascii="仿宋" w:hAnsi="仿宋" w:eastAsia="仿宋" w:cs="仿宋"/>
          <w:color w:val="000000"/>
          <w:kern w:val="2"/>
          <w:sz w:val="32"/>
          <w:szCs w:val="32"/>
          <w:shd w:val="clear" w:color="auto" w:fill="FFFFFF"/>
        </w:rPr>
        <w:t>　　为贯彻落实《中共中央国务院关于进一步加强城市规划建设管理工作的若干意见》和《国务院办公厅关于促进建筑业持续健康发展的意见》（国办发[2017]19号）精神，进一步提升工程质量安全水平，确保人民群众生命财产安全，促进建筑业持续健康发展，我部决定开展工程质量安全提升行动。现将《工程质量安全提升行动方案》印发给你们，请遵照执行。</w:t>
      </w:r>
    </w:p>
    <w:p>
      <w:pPr>
        <w:pStyle w:val="2"/>
        <w:shd w:val="clear" w:color="auto" w:fill="FFFFFF"/>
        <w:spacing w:before="0" w:beforeAutospacing="0" w:after="0" w:afterAutospacing="0" w:line="360" w:lineRule="atLeast"/>
        <w:rPr>
          <w:rFonts w:hint="eastAsia" w:ascii="仿宋" w:hAnsi="仿宋" w:eastAsia="仿宋" w:cs="仿宋"/>
          <w:color w:val="000000"/>
          <w:kern w:val="2"/>
          <w:sz w:val="32"/>
          <w:szCs w:val="32"/>
          <w:shd w:val="clear" w:color="auto" w:fill="FFFFFF"/>
        </w:rPr>
      </w:pPr>
      <w:r>
        <w:rPr>
          <w:rFonts w:hint="eastAsia"/>
          <w:color w:val="000000"/>
          <w:kern w:val="2"/>
          <w:sz w:val="32"/>
          <w:szCs w:val="32"/>
          <w:shd w:val="clear" w:color="auto" w:fill="FFFFFF"/>
        </w:rPr>
        <w:t> </w:t>
      </w:r>
      <w:r>
        <w:rPr>
          <w:rFonts w:ascii="仿宋" w:hAnsi="仿宋" w:eastAsia="仿宋" w:cs="仿宋"/>
          <w:color w:val="000000"/>
          <w:kern w:val="2"/>
          <w:sz w:val="32"/>
          <w:szCs w:val="32"/>
          <w:shd w:val="clear" w:color="auto" w:fill="FFFFFF"/>
        </w:rPr>
        <w:t>　　　　　　　　　　　　　　　　　　　　　　　　　　　</w:t>
      </w:r>
      <w:r>
        <w:rPr>
          <w:rFonts w:hint="eastAsia" w:ascii="仿宋" w:hAnsi="仿宋" w:eastAsia="仿宋" w:cs="仿宋"/>
          <w:color w:val="000000"/>
          <w:kern w:val="2"/>
          <w:sz w:val="32"/>
          <w:szCs w:val="32"/>
          <w:shd w:val="clear" w:color="auto" w:fill="FFFFFF"/>
        </w:rPr>
        <w:t xml:space="preserve">             </w:t>
      </w:r>
      <w:r>
        <w:rPr>
          <w:rFonts w:ascii="仿宋" w:hAnsi="仿宋" w:eastAsia="仿宋" w:cs="仿宋"/>
          <w:color w:val="000000"/>
          <w:kern w:val="2"/>
          <w:sz w:val="32"/>
          <w:szCs w:val="32"/>
          <w:shd w:val="clear" w:color="auto" w:fill="FFFFFF"/>
        </w:rPr>
        <w:t>中华人民共和国住房和城乡建设部　</w:t>
      </w:r>
    </w:p>
    <w:p>
      <w:pPr>
        <w:pStyle w:val="2"/>
        <w:shd w:val="clear" w:color="auto" w:fill="FFFFFF"/>
        <w:spacing w:before="0" w:beforeAutospacing="0" w:after="0" w:afterAutospacing="0" w:line="360" w:lineRule="atLeast"/>
        <w:rPr>
          <w:rFonts w:hint="eastAsia" w:ascii="仿宋" w:hAnsi="仿宋" w:eastAsia="仿宋" w:cs="仿宋"/>
          <w:color w:val="000000"/>
          <w:kern w:val="2"/>
          <w:sz w:val="32"/>
          <w:szCs w:val="32"/>
          <w:shd w:val="clear" w:color="auto" w:fill="FFFFFF"/>
        </w:rPr>
      </w:pPr>
      <w:r>
        <w:rPr>
          <w:rFonts w:ascii="仿宋" w:hAnsi="仿宋" w:eastAsia="仿宋" w:cs="仿宋"/>
          <w:color w:val="000000"/>
          <w:kern w:val="2"/>
          <w:sz w:val="32"/>
          <w:szCs w:val="32"/>
          <w:shd w:val="clear" w:color="auto" w:fill="FFFFFF"/>
        </w:rPr>
        <w:t>　　　　　　　　　　　2017年3月3日</w:t>
      </w:r>
    </w:p>
    <w:p>
      <w:pPr>
        <w:pStyle w:val="2"/>
        <w:shd w:val="clear" w:color="auto" w:fill="FFFFFF"/>
        <w:spacing w:before="0" w:beforeAutospacing="0" w:after="0" w:afterAutospacing="0" w:line="360" w:lineRule="atLeast"/>
        <w:rPr>
          <w:rFonts w:ascii="仿宋" w:hAnsi="仿宋" w:eastAsia="仿宋" w:cs="仿宋"/>
          <w:color w:val="000000"/>
          <w:kern w:val="2"/>
          <w:sz w:val="32"/>
          <w:szCs w:val="32"/>
          <w:shd w:val="clear" w:color="auto" w:fill="FFFFFF"/>
        </w:rPr>
      </w:pPr>
      <w:r>
        <w:rPr>
          <w:rFonts w:ascii="仿宋" w:hAnsi="仿宋" w:eastAsia="仿宋" w:cs="仿宋"/>
          <w:color w:val="000000"/>
          <w:kern w:val="2"/>
          <w:sz w:val="32"/>
          <w:szCs w:val="32"/>
          <w:shd w:val="clear" w:color="auto" w:fill="FFFFFF"/>
        </w:rPr>
        <w:t>　　（此件主动公开）</w:t>
      </w:r>
    </w:p>
    <w:p>
      <w:pPr>
        <w:pBdr>
          <w:top w:val="none" w:color="auto" w:sz="0" w:space="1"/>
          <w:left w:val="none" w:color="auto" w:sz="0" w:space="4"/>
          <w:bottom w:val="none" w:color="auto" w:sz="0" w:space="1"/>
          <w:right w:val="none" w:color="auto" w:sz="0" w:space="4"/>
        </w:pBdr>
        <w:jc w:val="center"/>
        <w:rPr>
          <w:rFonts w:hint="eastAsia" w:ascii="新宋体" w:hAnsi="新宋体" w:eastAsia="新宋体" w:cs="新宋体"/>
          <w:sz w:val="36"/>
          <w:szCs w:val="36"/>
        </w:rPr>
      </w:pPr>
      <w:r>
        <w:rPr>
          <w:rFonts w:hint="eastAsia" w:ascii="新宋体" w:hAnsi="新宋体" w:eastAsia="新宋体" w:cs="新宋体"/>
          <w:b/>
          <w:color w:val="000000"/>
          <w:sz w:val="36"/>
          <w:szCs w:val="36"/>
          <w:shd w:val="clear" w:color="auto" w:fill="FFFFFF"/>
        </w:rPr>
        <w:t>工程质量安全提升行动方案</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仿宋" w:hAnsi="仿宋" w:eastAsia="仿宋" w:cs="仿宋"/>
          <w:color w:val="000000"/>
          <w:sz w:val="32"/>
          <w:szCs w:val="32"/>
          <w:shd w:val="clear" w:color="auto" w:fill="FFFFFF"/>
        </w:rPr>
      </w:pP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百年大计，质量第一；安全生产，人命关天。为进一步提升工程质量安全水平，确保人民群众生命财产安全，促进建筑业持续健康发展，特制定本行动方案。</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一、指导思想</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贯彻落实《中共中央国务院关于进一步加强城市规划建设管理工作的若干意见》和《国务院办公厅关于促进建筑业持续健康发展的意见》（国办发[2017]19号）精神，巩固工程质量治理两年行动成果，围绕“落实主体责任”和“强化政府监管”两个重点，坚持企业管理与项目管理并重、企业责任与个人责任并重、质量安全行为与工程实体质量安全并重、深化建筑业改革与完善质量安全管理制度并重，严格监督管理，严格责任落实，严格责任追究，着力构建质量安全提升长效机制，全面提升工程质量安全水平。</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二、总体目标</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通过开展工程质量安全提升行动（以下简称提升行动），用3年左右时间，进一步完善工程质量安全管理制度，落实工程质量安全主体责任，强化工程质量安全监管，提高工程项目质量安全管理水平，提高工程技术创新能力，使全国工程质量安全总体水平得到明显提升。</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三、重点任务</w:t>
      </w:r>
    </w:p>
    <w:p>
      <w:pPr>
        <w:pBdr>
          <w:top w:val="none" w:color="auto" w:sz="0" w:space="1"/>
          <w:left w:val="none" w:color="auto" w:sz="0" w:space="4"/>
          <w:bottom w:val="none" w:color="auto" w:sz="0" w:space="1"/>
          <w:right w:val="none" w:color="auto" w:sz="0" w:space="4"/>
        </w:pBdr>
        <w:ind w:firstLine="640" w:firstLineChars="200"/>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（一）落实主体责任。</w:t>
      </w:r>
    </w:p>
    <w:p>
      <w:pPr>
        <w:pBdr>
          <w:top w:val="none" w:color="auto" w:sz="0" w:space="1"/>
          <w:left w:val="none" w:color="auto" w:sz="0" w:space="4"/>
          <w:bottom w:val="none" w:color="auto" w:sz="0" w:space="1"/>
          <w:right w:val="none" w:color="auto" w:sz="0" w:space="4"/>
        </w:pBd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1.严格落实工程建设参建各方主体责任。进一步完善工程质量安全管理制度和责任体系，全面落实各方主体的质量安全责任，特别是要强化建设单位的首要责任和勘察、设计、施工单位的主体责任。</w:t>
      </w:r>
    </w:p>
    <w:p>
      <w:pPr>
        <w:pBdr>
          <w:top w:val="none" w:color="auto" w:sz="0" w:space="1"/>
          <w:left w:val="none" w:color="auto" w:sz="0" w:space="4"/>
          <w:bottom w:val="none" w:color="auto" w:sz="0" w:space="1"/>
          <w:right w:val="none" w:color="auto" w:sz="0" w:space="4"/>
        </w:pBd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2.严格落实项目负责人责任。</w:t>
      </w:r>
      <w:r>
        <w:rPr>
          <w:rFonts w:hint="eastAsia" w:ascii="仿宋_GB2312" w:hAnsi="仿宋" w:eastAsia="仿宋_GB2312" w:cs="楷体"/>
          <w:sz w:val="32"/>
          <w:szCs w:val="32"/>
        </w:rPr>
        <w:t>严格执行建设、勘察、设计、施工、监理等五方主体项目负责人质量安全责任规定，强化项目负责人的质量安全责任。</w:t>
      </w:r>
    </w:p>
    <w:p>
      <w:pPr>
        <w:pBdr>
          <w:top w:val="none" w:color="auto" w:sz="0" w:space="1"/>
          <w:left w:val="none" w:color="auto" w:sz="0" w:space="4"/>
          <w:bottom w:val="none" w:color="auto" w:sz="0" w:space="1"/>
          <w:right w:val="none" w:color="auto" w:sz="0" w:space="4"/>
        </w:pBd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3.严格落实从业人员责任。</w:t>
      </w:r>
      <w:r>
        <w:rPr>
          <w:rFonts w:hint="eastAsia" w:ascii="仿宋_GB2312" w:hAnsi="Times New Roman" w:eastAsia="仿宋_GB2312"/>
          <w:sz w:val="32"/>
          <w:szCs w:val="32"/>
        </w:rPr>
        <w:t>强化个人执业管理，落实</w:t>
      </w:r>
      <w:r>
        <w:rPr>
          <w:rFonts w:hint="eastAsia" w:ascii="仿宋_GB2312" w:eastAsia="仿宋_GB2312"/>
          <w:sz w:val="32"/>
          <w:szCs w:val="32"/>
        </w:rPr>
        <w:t>注册执业人员的质量安全责任，</w:t>
      </w:r>
      <w:r>
        <w:rPr>
          <w:rFonts w:hint="eastAsia" w:ascii="仿宋_GB2312" w:hAnsi="仿宋" w:eastAsia="仿宋_GB2312" w:cs="楷体"/>
          <w:sz w:val="32"/>
          <w:szCs w:val="32"/>
        </w:rPr>
        <w:t>规范从业行为</w:t>
      </w:r>
      <w:r>
        <w:rPr>
          <w:rFonts w:hint="eastAsia" w:ascii="仿宋_GB2312" w:eastAsia="仿宋_GB2312"/>
          <w:sz w:val="32"/>
          <w:szCs w:val="32"/>
        </w:rPr>
        <w:t>，推动建立个人执业保险制度，加大执业责任追究力度</w:t>
      </w:r>
      <w:r>
        <w:rPr>
          <w:rFonts w:hint="eastAsia" w:ascii="仿宋_GB2312" w:hAnsi="仿宋" w:eastAsia="仿宋_GB2312" w:cs="楷体"/>
          <w:sz w:val="32"/>
          <w:szCs w:val="32"/>
        </w:rPr>
        <w:t>。</w:t>
      </w:r>
    </w:p>
    <w:p>
      <w:pPr>
        <w:pBdr>
          <w:top w:val="none" w:color="auto" w:sz="0" w:space="1"/>
          <w:left w:val="none" w:color="auto" w:sz="0" w:space="4"/>
          <w:bottom w:val="none" w:color="auto" w:sz="0" w:space="1"/>
          <w:right w:val="none" w:color="auto" w:sz="0" w:space="4"/>
        </w:pBd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4.严格</w:t>
      </w:r>
      <w:r>
        <w:rPr>
          <w:rFonts w:hint="eastAsia" w:ascii="仿宋_GB2312" w:hAnsi="仿宋" w:eastAsia="仿宋_GB2312" w:cs="楷体"/>
          <w:sz w:val="32"/>
          <w:szCs w:val="32"/>
        </w:rPr>
        <w:t>落实工程质量终身责任。</w:t>
      </w:r>
      <w:r>
        <w:rPr>
          <w:rFonts w:hint="eastAsia" w:ascii="仿宋_GB2312" w:hAnsi="黑体" w:eastAsia="仿宋_GB2312"/>
          <w:sz w:val="32"/>
          <w:szCs w:val="32"/>
        </w:rPr>
        <w:t>进一步完善工程质量终身责任制，严格执行</w:t>
      </w:r>
      <w:r>
        <w:rPr>
          <w:rFonts w:hint="eastAsia" w:ascii="仿宋_GB2312" w:hAnsi="仿宋_GB2312" w:eastAsia="仿宋_GB2312"/>
          <w:sz w:val="32"/>
          <w:szCs w:val="32"/>
        </w:rPr>
        <w:t>工程质量终身责任书面承诺、永久性标牌、质量信息档案等制度，加大质量责任追究力度。</w:t>
      </w:r>
    </w:p>
    <w:p>
      <w:pPr>
        <w:pBdr>
          <w:top w:val="none" w:color="auto" w:sz="0" w:space="1"/>
          <w:left w:val="none" w:color="auto" w:sz="0" w:space="4"/>
          <w:bottom w:val="none" w:color="auto" w:sz="0" w:space="1"/>
          <w:right w:val="none" w:color="auto" w:sz="0" w:space="4"/>
        </w:pBdr>
        <w:ind w:firstLine="640" w:firstLineChars="200"/>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（二）提升项目管理水平。</w:t>
      </w:r>
    </w:p>
    <w:p>
      <w:pPr>
        <w:pBdr>
          <w:top w:val="none" w:color="auto" w:sz="0" w:space="1"/>
          <w:left w:val="none" w:color="auto" w:sz="0" w:space="4"/>
          <w:bottom w:val="none" w:color="auto" w:sz="0" w:space="1"/>
          <w:right w:val="none" w:color="auto" w:sz="0" w:space="4"/>
        </w:pBd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提升建筑设计水平。贯彻落实“适用、经济、绿色、美观”的新时期建筑方针，倡导开展建筑评论，促进建筑设计理念的融合和升华。探索建立大型公共建筑工程后评估制度。完善激励机制，引导激发优秀设计创作和建筑设计人才队伍建设。</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推进工程质量管理标准化。完善工程质量管控体系，建立质量管理标准化制度和评价体系，推进质量行为管理标准化和工程实体质量控制标准化。开展工程质量管理标准化示范活动，实施样板引路制度。制定并推广应用简洁、适用、易执行的岗位标准化手册，将质量责任落实到人。</w:t>
      </w:r>
    </w:p>
    <w:p>
      <w:pPr>
        <w:pBdr>
          <w:top w:val="none" w:color="auto" w:sz="0" w:space="1"/>
          <w:left w:val="none" w:color="auto" w:sz="0" w:space="4"/>
          <w:bottom w:val="none" w:color="auto" w:sz="0" w:space="1"/>
          <w:right w:val="none" w:color="auto" w:sz="0" w:space="4"/>
        </w:pBd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3.提升建筑施工本质安全水平。深入开展建筑施工企业和项目安全生产标准化考评，推动建筑施工企业实现安全行为规范化和安全管理标准化，提升施工人员的安全生产意识和安全技能。</w:t>
      </w:r>
    </w:p>
    <w:p>
      <w:pPr>
        <w:pBdr>
          <w:top w:val="none" w:color="auto" w:sz="0" w:space="1"/>
          <w:left w:val="none" w:color="auto" w:sz="0" w:space="4"/>
          <w:bottom w:val="none" w:color="auto" w:sz="0" w:space="1"/>
          <w:right w:val="none" w:color="auto" w:sz="0" w:space="4"/>
        </w:pBd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提升城市轨道交通工程风险管控水平。建立施工关键节点风险控制制度，强化工程重要部位和关键环节施工安全条件审查。构建风险分级管控和隐患排查治理双重预防工作机制，落实企业质量安全风险自辨自控、隐患自查自治责任。</w:t>
      </w:r>
    </w:p>
    <w:p>
      <w:pPr>
        <w:pBdr>
          <w:top w:val="none" w:color="auto" w:sz="0" w:space="1"/>
          <w:left w:val="none" w:color="auto" w:sz="0" w:space="4"/>
          <w:bottom w:val="none" w:color="auto" w:sz="0" w:space="1"/>
          <w:right w:val="none" w:color="auto" w:sz="0" w:space="4"/>
        </w:pBdr>
        <w:ind w:firstLine="640" w:firstLineChars="200"/>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（三）提升技术创新能力。</w:t>
      </w:r>
    </w:p>
    <w:p>
      <w:pPr>
        <w:pBdr>
          <w:top w:val="none" w:color="auto" w:sz="0" w:space="1"/>
          <w:left w:val="none" w:color="auto" w:sz="0" w:space="4"/>
          <w:bottom w:val="none" w:color="auto" w:sz="0" w:space="1"/>
          <w:right w:val="none" w:color="auto" w:sz="0" w:space="4"/>
        </w:pBd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推进信息化技术应用。加快推进建筑信息模型（BIM）技术在规划、勘察、设计、施工和运营维护全过程的集成应用。推进勘察设计文件数字化交付、审查和存档工作。加强工程质量安全监管信息化建设，推行工程质量安全数字化监管。</w:t>
      </w:r>
    </w:p>
    <w:p>
      <w:pPr>
        <w:pBdr>
          <w:top w:val="none" w:color="auto" w:sz="0" w:space="1"/>
          <w:left w:val="none" w:color="auto" w:sz="0" w:space="4"/>
          <w:bottom w:val="none" w:color="auto" w:sz="0" w:space="1"/>
          <w:right w:val="none" w:color="auto" w:sz="0" w:space="4"/>
        </w:pBd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推广工程建设新技术。加快先进建造设备、智能设备的推广应用，大力推广建筑业10项新技术和城市轨道交通工程关键技术等先进适用技术，推广应用工程建设专有技术和工法，以技术进步支撑装配式建筑、绿色建造等新型建造方式发展。</w:t>
      </w:r>
    </w:p>
    <w:p>
      <w:pPr>
        <w:pBdr>
          <w:top w:val="none" w:color="auto" w:sz="0" w:space="1"/>
          <w:left w:val="none" w:color="auto" w:sz="0" w:space="4"/>
          <w:bottom w:val="none" w:color="auto" w:sz="0" w:space="1"/>
          <w:right w:val="none" w:color="auto" w:sz="0" w:space="4"/>
        </w:pBd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3.提升减隔震技术水平。推进减隔震技术应用，加强工程建设和使用维护管理，建立减隔震装置质量检测制度，提高减隔震工程质量。</w:t>
      </w:r>
    </w:p>
    <w:p>
      <w:pPr>
        <w:pBdr>
          <w:top w:val="none" w:color="auto" w:sz="0" w:space="1"/>
          <w:left w:val="none" w:color="auto" w:sz="0" w:space="4"/>
          <w:bottom w:val="none" w:color="auto" w:sz="0" w:space="1"/>
          <w:right w:val="none" w:color="auto" w:sz="0" w:space="4"/>
        </w:pBdr>
        <w:ind w:firstLine="640" w:firstLineChars="200"/>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（四）健全监督管理机制。</w:t>
      </w:r>
    </w:p>
    <w:p>
      <w:pPr>
        <w:pBdr>
          <w:top w:val="none" w:color="auto" w:sz="0" w:space="1"/>
          <w:left w:val="none" w:color="auto" w:sz="0" w:space="4"/>
          <w:bottom w:val="none" w:color="auto" w:sz="0" w:space="1"/>
          <w:right w:val="none" w:color="auto" w:sz="0" w:space="4"/>
        </w:pBdr>
        <w:ind w:firstLine="640" w:firstLineChars="200"/>
        <w:rPr>
          <w:rFonts w:hint="eastAsia" w:ascii="仿宋_GB2312" w:hAnsi="仿宋_GB2312" w:eastAsia="仿宋_GB2312"/>
          <w:spacing w:val="16"/>
          <w:sz w:val="32"/>
          <w:szCs w:val="32"/>
        </w:rPr>
      </w:pPr>
      <w:r>
        <w:rPr>
          <w:rFonts w:hint="eastAsia" w:ascii="仿宋" w:hAnsi="仿宋" w:eastAsia="仿宋" w:cs="仿宋"/>
          <w:color w:val="000000"/>
          <w:sz w:val="32"/>
          <w:szCs w:val="32"/>
          <w:shd w:val="clear" w:color="auto" w:fill="FFFFFF"/>
        </w:rPr>
        <w:t>1.加强政府监管。强化对工程建设全过程的质量安全监管，重点加强对涉及公共安全的工程地基基础、主体结构等部位和竣工验收等环节的监督检查。完善施工图设计文件审查制度，规范设计变更行为。开展监理单位向政府主管部门报告质量监理情况的试点，充分发挥监理单位在质量控制中的作用。加强工程质量检测管</w:t>
      </w:r>
      <w:r>
        <w:rPr>
          <w:rFonts w:hint="eastAsia" w:ascii="仿宋_GB2312" w:hAnsi="仿宋_GB2312" w:eastAsia="仿宋_GB2312"/>
          <w:spacing w:val="16"/>
          <w:sz w:val="32"/>
          <w:szCs w:val="32"/>
        </w:rPr>
        <w:t>理，严厉打击出具虚假报告等行为。</w:t>
      </w:r>
      <w:r>
        <w:rPr>
          <w:rFonts w:hint="eastAsia" w:ascii="仿宋" w:hAnsi="仿宋" w:eastAsia="仿宋" w:cs="仿宋"/>
          <w:color w:val="000000"/>
          <w:sz w:val="32"/>
          <w:szCs w:val="32"/>
          <w:shd w:val="clear" w:color="auto" w:fill="FFFFFF"/>
        </w:rPr>
        <w:t>推进质量安全诚信体系建设，建立健全信用评价和惩戒机制，强化信用约束。推动发展工程质量保险。</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加强监督检查。推行“双随机、一公开”检查方式，加大抽查抽测力度，加强工程质量安全监督执法检查。深入开展以深基坑、高支模、起重机械等危险性较大的分部分项工程为重点的建筑施工安全专项整治。加大对轨道交通工程新开工、风险事故频发以及发生较大事故城市的监督检查力度。组织开展新建工程抗震设防专项检查，重点检查超限高层建筑工程和减隔震工程。</w:t>
      </w:r>
    </w:p>
    <w:p>
      <w:pPr>
        <w:pBdr>
          <w:top w:val="none" w:color="auto" w:sz="0" w:space="1"/>
          <w:left w:val="none" w:color="auto" w:sz="0" w:space="4"/>
          <w:bottom w:val="none" w:color="auto" w:sz="0" w:space="1"/>
          <w:right w:val="none" w:color="auto" w:sz="0" w:space="4"/>
        </w:pBd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加强队伍建设。加强监督队伍建设，保障监督机构人员和经费。开展对监督机构人员配置和经费保障情况的督查。推进监管体制机制创新，不断提高监管执法的标准化、规范化、信息化水平。鼓励采取政府购买服务的方式，委托具备条件的社会力量进行监督检查。完善监督层级考核机制，落实监管责任。</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四、实施步骤</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仿宋" w:hAnsi="仿宋" w:eastAsia="仿宋" w:cs="仿宋"/>
          <w:color w:val="000000"/>
          <w:sz w:val="32"/>
          <w:szCs w:val="32"/>
          <w:shd w:val="clear" w:color="auto" w:fill="FFFFFF"/>
        </w:rPr>
      </w:pPr>
      <w:r>
        <w:rPr>
          <w:rFonts w:hint="eastAsia" w:ascii="楷体" w:hAnsi="楷体" w:eastAsia="楷体" w:cs="楷体"/>
          <w:color w:val="000000"/>
          <w:sz w:val="32"/>
          <w:szCs w:val="32"/>
          <w:shd w:val="clear" w:color="auto" w:fill="FFFFFF"/>
        </w:rPr>
        <w:t>（一）动员部署（2017年3月）</w:t>
      </w:r>
      <w:r>
        <w:rPr>
          <w:rFonts w:hint="eastAsia" w:ascii="仿宋" w:hAnsi="仿宋" w:eastAsia="仿宋" w:cs="仿宋"/>
          <w:color w:val="000000"/>
          <w:sz w:val="32"/>
          <w:szCs w:val="32"/>
          <w:shd w:val="clear" w:color="auto" w:fill="FFFFFF"/>
        </w:rPr>
        <w:t>。</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各地住房城乡建设主管部门要按照本方案，因地制宜制定具体实施方案，全面动员部署提升行动。各省、自治区、直辖市住房城乡建设主管部门要在2017年3月31日前将实施方案报住房城乡建设部工程质量安全监管司。</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仿宋" w:hAnsi="仿宋" w:eastAsia="仿宋" w:cs="仿宋"/>
          <w:color w:val="000000"/>
          <w:sz w:val="32"/>
          <w:szCs w:val="32"/>
          <w:shd w:val="clear" w:color="auto" w:fill="FFFFFF"/>
        </w:rPr>
      </w:pPr>
      <w:r>
        <w:rPr>
          <w:rFonts w:hint="eastAsia" w:ascii="楷体" w:hAnsi="楷体" w:eastAsia="楷体" w:cs="楷体"/>
          <w:color w:val="000000"/>
          <w:sz w:val="32"/>
          <w:szCs w:val="32"/>
          <w:shd w:val="clear" w:color="auto" w:fill="FFFFFF"/>
        </w:rPr>
        <w:t>（二）组织实施（2017年3月—2019年12月）</w:t>
      </w:r>
      <w:r>
        <w:rPr>
          <w:rFonts w:hint="eastAsia" w:ascii="仿宋" w:hAnsi="仿宋" w:eastAsia="仿宋" w:cs="仿宋"/>
          <w:color w:val="000000"/>
          <w:sz w:val="32"/>
          <w:szCs w:val="32"/>
          <w:shd w:val="clear" w:color="auto" w:fill="FFFFFF"/>
        </w:rPr>
        <w:t>。</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各地住房城乡建设主管部门要加强监督检查，强化责任落实。各市、县住房城乡建设主管部门要在加强日常监督检查、抽查抽测的基础上，每半年对本地区在建工程项目全面排查一次；各省、自治区、直辖市住房城乡建设主管部门每半年对本行政区域工程项目进行一次重点抽查和提升行动督导检查。住房城乡建设部每年组织一次全国督查，并定期通报各地开展提升行动的进展情况。</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（三）总结推广（2020年1月）。</w:t>
      </w:r>
    </w:p>
    <w:p>
      <w:pPr>
        <w:pBdr>
          <w:top w:val="none" w:color="auto" w:sz="0" w:space="1"/>
          <w:left w:val="none" w:color="auto" w:sz="0" w:space="4"/>
          <w:bottom w:val="none" w:color="auto" w:sz="0" w:space="1"/>
          <w:right w:val="none" w:color="auto" w:sz="0" w:space="4"/>
        </w:pBdr>
        <w:shd w:val="clear" w:color="FFFFFF" w:fill="auto"/>
        <w:autoSpaceDN w:val="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各地住房城乡建设主管部门要认真总结经验，深入分析问题及原因，研究提出改进工作措施和建议。对提升行动中工作突出、成效显著的单位和个人，予以通报表扬。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AE"/>
    <w:rsid w:val="003804AE"/>
    <w:rsid w:val="00DE5634"/>
    <w:rsid w:val="0E114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413</Words>
  <Characters>2359</Characters>
  <Lines>19</Lines>
  <Paragraphs>5</Paragraphs>
  <TotalTime>0</TotalTime>
  <ScaleCrop>false</ScaleCrop>
  <LinksUpToDate>false</LinksUpToDate>
  <CharactersWithSpaces>2767</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2017-03-10T02:06:00Z</dcterms:created>
  <dc:creator>DELL</dc:creator>
  <cp:lastModifiedBy>Administrator</cp:lastModifiedBy>
  <dcterms:modified xsi:type="dcterms:W3CDTF">2017-08-09T02:52:45Z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